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7" w:rsidRPr="00CD1CEA" w:rsidRDefault="00276CF7" w:rsidP="00276C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D1C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F7" w:rsidRPr="003465F5" w:rsidRDefault="003465F5" w:rsidP="003465F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276CF7" w:rsidRPr="003465F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76CF7" w:rsidRPr="003465F5" w:rsidRDefault="003465F5" w:rsidP="003465F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276CF7" w:rsidRPr="003465F5">
        <w:rPr>
          <w:rFonts w:ascii="Times New Roman" w:hAnsi="Times New Roman" w:cs="Times New Roman"/>
          <w:b/>
          <w:sz w:val="32"/>
          <w:szCs w:val="32"/>
        </w:rPr>
        <w:t>ПЕРЕНСКОГО СЕЛЬСКОГО ПОСЕЛЕНИЯ</w:t>
      </w:r>
    </w:p>
    <w:p w:rsidR="00276CF7" w:rsidRPr="003465F5" w:rsidRDefault="00276CF7" w:rsidP="003465F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3465F5">
        <w:rPr>
          <w:rFonts w:ascii="Times New Roman" w:hAnsi="Times New Roman" w:cs="Times New Roman"/>
          <w:b/>
          <w:sz w:val="32"/>
          <w:szCs w:val="32"/>
        </w:rPr>
        <w:t>РОСЛАВЛЬСКОГО РАЙОНА СМОЛЕНСКОЙ ОБЛАСТИ</w:t>
      </w:r>
    </w:p>
    <w:p w:rsidR="00276CF7" w:rsidRPr="00CD1CEA" w:rsidRDefault="00276CF7" w:rsidP="00276CF7">
      <w:pPr>
        <w:ind w:left="-1620" w:firstLine="1620"/>
        <w:jc w:val="center"/>
        <w:rPr>
          <w:rFonts w:ascii="Times New Roman" w:hAnsi="Times New Roman" w:cs="Times New Roman"/>
          <w:sz w:val="20"/>
          <w:szCs w:val="20"/>
        </w:rPr>
      </w:pPr>
    </w:p>
    <w:p w:rsidR="00276CF7" w:rsidRPr="003465F5" w:rsidRDefault="00276CF7" w:rsidP="003465F5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D1CE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D1C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76C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Y="170"/>
        <w:tblW w:w="4900" w:type="pct"/>
        <w:tblCellSpacing w:w="15" w:type="dxa"/>
        <w:tblLook w:val="04A0"/>
      </w:tblPr>
      <w:tblGrid>
        <w:gridCol w:w="4850"/>
        <w:gridCol w:w="4851"/>
      </w:tblGrid>
      <w:tr w:rsidR="00CD1CEA" w:rsidTr="00CD1CEA">
        <w:trPr>
          <w:tblCellSpacing w:w="15" w:type="dxa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CEA" w:rsidRPr="00276CF7" w:rsidRDefault="00CD1CEA" w:rsidP="005E750E">
            <w:pPr>
              <w:pStyle w:val="a6"/>
            </w:pPr>
          </w:p>
        </w:tc>
        <w:tc>
          <w:tcPr>
            <w:tcW w:w="247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CEA" w:rsidRPr="00276CF7" w:rsidRDefault="00CD1CEA" w:rsidP="00CD1C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1CEA" w:rsidRPr="003465F5" w:rsidTr="00CD1CEA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CEA" w:rsidRPr="003465F5" w:rsidRDefault="00CD1CEA" w:rsidP="00CD1C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1CEA" w:rsidRPr="003465F5" w:rsidRDefault="00CD1CEA" w:rsidP="00CD1C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46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655"/>
      </w:tblGrid>
      <w:tr w:rsidR="00A34094" w:rsidRPr="003465F5" w:rsidTr="00A34094">
        <w:trPr>
          <w:tblCellSpacing w:w="15" w:type="dxa"/>
          <w:jc w:val="center"/>
        </w:trPr>
        <w:tc>
          <w:tcPr>
            <w:tcW w:w="247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9A0AA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04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4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A34094" w:rsidRPr="00346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декабря 2021г.</w:t>
            </w:r>
          </w:p>
        </w:tc>
        <w:tc>
          <w:tcPr>
            <w:tcW w:w="2476" w:type="pc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34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46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34094" w:rsidRPr="003465F5" w:rsidTr="00A3409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094" w:rsidRPr="003465F5" w:rsidTr="00A34094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Перенского</w:t>
            </w: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 на 2020-2022 гг.</w:t>
            </w:r>
          </w:p>
        </w:tc>
        <w:tc>
          <w:tcPr>
            <w:tcW w:w="2476" w:type="pct"/>
            <w:vMerge w:val="restar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094" w:rsidRPr="003465F5" w:rsidTr="00A34094">
        <w:trPr>
          <w:tblCellSpacing w:w="15" w:type="dxa"/>
          <w:jc w:val="center"/>
        </w:trPr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4094" w:rsidRPr="003465F5" w:rsidRDefault="00A34094" w:rsidP="00A3409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1"/>
      </w:tblGrid>
      <w:tr w:rsidR="00A34094" w:rsidRPr="003465F5" w:rsidTr="000E18C5">
        <w:trPr>
          <w:tblCellSpacing w:w="15" w:type="dxa"/>
          <w:jc w:val="center"/>
        </w:trPr>
        <w:tc>
          <w:tcPr>
            <w:tcW w:w="0" w:type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A34094" w:rsidRPr="003465F5" w:rsidRDefault="00A34094" w:rsidP="000E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</w:t>
            </w:r>
            <w:proofErr w:type="gramEnd"/>
          </w:p>
          <w:p w:rsidR="00A34094" w:rsidRPr="003465F5" w:rsidRDefault="00A34094" w:rsidP="003465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Администрация </w:t>
            </w:r>
            <w:r w:rsid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Перенского</w:t>
            </w:r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34094" w:rsidRPr="003465F5" w:rsidRDefault="00A34094" w:rsidP="003465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 района Смоленской области</w:t>
            </w:r>
          </w:p>
          <w:p w:rsidR="00A34094" w:rsidRPr="003465F5" w:rsidRDefault="00A34094" w:rsidP="000E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</w:t>
            </w:r>
          </w:p>
          <w:p w:rsidR="00A34094" w:rsidRPr="003465F5" w:rsidRDefault="00A34094" w:rsidP="000E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Внести изменения в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Перенского</w:t>
            </w: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области» на 2020-2022 г.г., утвержденную постановлением Администрации </w:t>
            </w:r>
            <w:r w:rsid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Перенского</w:t>
            </w: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</w:t>
            </w:r>
            <w:r w:rsid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Смоленской области от 07.08.2020 года №57</w:t>
            </w: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34094" w:rsidRPr="003465F5" w:rsidRDefault="003465F5" w:rsidP="003465F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4094"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          Приложение 1 читать в новой редакции</w:t>
            </w:r>
          </w:p>
          <w:p w:rsidR="00A34094" w:rsidRPr="003465F5" w:rsidRDefault="00A34094" w:rsidP="003465F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          Приложение 2 читать в </w:t>
            </w:r>
            <w:proofErr w:type="gramStart"/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новой</w:t>
            </w:r>
            <w:proofErr w:type="gramEnd"/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65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редакци</w:t>
            </w:r>
            <w:proofErr w:type="spellEnd"/>
          </w:p>
          <w:p w:rsidR="00A34094" w:rsidRPr="003465F5" w:rsidRDefault="00A34094" w:rsidP="000E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Настоящее постановление подлежит размещению на официальном сайте Администрации </w:t>
            </w:r>
            <w:r w:rsid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Перенского</w:t>
            </w: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в информационно-телекоммуникационной сети Интернет.</w:t>
            </w:r>
          </w:p>
          <w:p w:rsidR="00A34094" w:rsidRPr="003465F5" w:rsidRDefault="00A34094" w:rsidP="00346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</w:t>
            </w:r>
            <w:proofErr w:type="gramStart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4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3465F5" w:rsidRPr="003465F5" w:rsidRDefault="003465F5" w:rsidP="003465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65F5" w:rsidRPr="003465F5" w:rsidRDefault="003465F5" w:rsidP="003465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65F5">
        <w:rPr>
          <w:rFonts w:ascii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3465F5" w:rsidRPr="003465F5" w:rsidRDefault="003465F5" w:rsidP="003465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65F5">
        <w:rPr>
          <w:rFonts w:ascii="Times New Roman" w:hAnsi="Times New Roman" w:cs="Times New Roman"/>
          <w:color w:val="000000"/>
          <w:sz w:val="28"/>
          <w:szCs w:val="28"/>
        </w:rPr>
        <w:t xml:space="preserve">Перенского сельского поселения </w:t>
      </w:r>
    </w:p>
    <w:p w:rsidR="003465F5" w:rsidRPr="003465F5" w:rsidRDefault="003465F5" w:rsidP="003465F5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65F5"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 Смоленской области</w:t>
      </w:r>
      <w:r w:rsidRPr="003465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proofErr w:type="spellStart"/>
      <w:r w:rsidRPr="003465F5">
        <w:rPr>
          <w:rFonts w:ascii="Times New Roman" w:hAnsi="Times New Roman" w:cs="Times New Roman"/>
          <w:color w:val="000000"/>
          <w:sz w:val="28"/>
          <w:szCs w:val="28"/>
        </w:rPr>
        <w:t>Л.Я.Шаманова</w:t>
      </w:r>
      <w:proofErr w:type="spellEnd"/>
    </w:p>
    <w:p w:rsidR="00276CF7" w:rsidRPr="003465F5" w:rsidRDefault="00276CF7" w:rsidP="00276CF7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CF7" w:rsidRPr="003465F5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CF7" w:rsidRPr="003465F5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CF7" w:rsidRDefault="00276CF7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50E" w:rsidRDefault="005E750E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50E" w:rsidRDefault="005E750E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50E" w:rsidRDefault="005E750E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50E" w:rsidRDefault="005E750E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50E" w:rsidRDefault="005E750E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CA1" w:rsidRDefault="00D513A3" w:rsidP="00304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1CA1" w:rsidRDefault="00EB1CA1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CA1" w:rsidRDefault="00EB1CA1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Утверждена</w:t>
      </w:r>
    </w:p>
    <w:p w:rsidR="00EB1CA1" w:rsidRDefault="00EB1CA1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3A3" w:rsidRDefault="00D513A3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13A3" w:rsidRDefault="001932C2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Перенского</w:t>
      </w:r>
      <w:r w:rsidR="00D513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513A3" w:rsidRDefault="00D513A3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D513A3" w:rsidRDefault="00276CF7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FB6F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6F89">
        <w:rPr>
          <w:rFonts w:ascii="Times New Roman" w:hAnsi="Times New Roman" w:cs="Times New Roman"/>
          <w:sz w:val="24"/>
          <w:szCs w:val="24"/>
        </w:rPr>
        <w:t>.2020</w:t>
      </w:r>
      <w:r w:rsidR="00D513A3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B1CA1" w:rsidRDefault="00304CEC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в   редакции от 30</w:t>
      </w:r>
      <w:r w:rsidR="00EB1CA1">
        <w:rPr>
          <w:rFonts w:ascii="Times New Roman" w:hAnsi="Times New Roman" w:cs="Times New Roman"/>
          <w:sz w:val="24"/>
          <w:szCs w:val="24"/>
        </w:rPr>
        <w:t>.12.2021г№53)</w:t>
      </w:r>
    </w:p>
    <w:p w:rsidR="006867BE" w:rsidRPr="006867BE" w:rsidRDefault="006867BE" w:rsidP="006867BE">
      <w:pPr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67BE" w:rsidRPr="006867BE" w:rsidRDefault="006867BE" w:rsidP="006867BE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67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МУНИЦИПАЛЬНАЯ ПРОГРАММА</w:t>
      </w:r>
    </w:p>
    <w:p w:rsidR="006867BE" w:rsidRPr="006867BE" w:rsidRDefault="006867BE" w:rsidP="0086627C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67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муниципального образовани</w:t>
      </w:r>
      <w:r w:rsidR="0086627C"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я </w:t>
      </w:r>
      <w:r w:rsidR="001932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Перенского</w:t>
      </w:r>
      <w:r w:rsidR="0086627C"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FB6F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» на 2020-2022 </w:t>
      </w:r>
      <w:proofErr w:type="spellStart"/>
      <w:proofErr w:type="gramStart"/>
      <w:r w:rsidR="00FB6F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гг</w:t>
      </w:r>
      <w:proofErr w:type="spellEnd"/>
      <w:proofErr w:type="gramEnd"/>
    </w:p>
    <w:p w:rsidR="006867BE" w:rsidRPr="00FB6F89" w:rsidRDefault="006867BE" w:rsidP="00FB6F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F89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6867BE" w:rsidRPr="00FB6F89" w:rsidRDefault="00FB6F89" w:rsidP="00FB6F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867BE" w:rsidRPr="00257333" w:rsidRDefault="006867BE" w:rsidP="0086627C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627C"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района Смоленской области</w:t>
      </w:r>
      <w:r w:rsidR="00FB6F89"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гг.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6419"/>
      </w:tblGrid>
      <w:tr w:rsidR="006867BE" w:rsidRPr="006867BE" w:rsidTr="00257333">
        <w:trPr>
          <w:trHeight w:val="818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7BE" w:rsidRPr="00FB6F89" w:rsidRDefault="006867BE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486B7D"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7BE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93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Перенского</w:t>
            </w: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486B7D" w:rsidRPr="006867BE" w:rsidTr="00257333">
        <w:trPr>
          <w:trHeight w:val="940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подпрограмм 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программа подпрограмм не содержит</w:t>
            </w:r>
          </w:p>
        </w:tc>
      </w:tr>
      <w:tr w:rsidR="00486B7D" w:rsidRPr="006867BE" w:rsidTr="00257333">
        <w:trPr>
          <w:trHeight w:val="1056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93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Перенского</w:t>
            </w: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486B7D" w:rsidRPr="006867BE" w:rsidTr="00257333">
        <w:trPr>
          <w:trHeight w:val="25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3E2875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программа подпрограмм не содержит</w:t>
            </w:r>
          </w:p>
        </w:tc>
      </w:tr>
      <w:tr w:rsidR="003E2875" w:rsidRPr="006867BE" w:rsidTr="00257333">
        <w:trPr>
          <w:trHeight w:val="4013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3E2875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257333" w:rsidRDefault="002B48DE" w:rsidP="00257333">
            <w:pPr>
              <w:pStyle w:val="a6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униципального образования </w:t>
            </w:r>
            <w:r w:rsidR="001932C2">
              <w:rPr>
                <w:rFonts w:ascii="Times New Roman" w:hAnsi="Times New Roman" w:cs="Times New Roman"/>
                <w:sz w:val="27"/>
                <w:szCs w:val="27"/>
              </w:rPr>
              <w:t xml:space="preserve">   Перенского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оселения Рославльского района Смоленской области Сведение к минимуму проявлений терроризма и </w:t>
            </w:r>
            <w:r w:rsidR="00257333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>кстремизма, усиление антитеррористической защищенности объектов социальной сферы и мест массового пребывания людей.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воспитательной, пропагандисткой работы с населением муниципального образования </w:t>
            </w:r>
          </w:p>
        </w:tc>
      </w:tr>
      <w:tr w:rsidR="003E2875" w:rsidRPr="006867BE" w:rsidTr="00257333">
        <w:trPr>
          <w:trHeight w:val="4869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11340E" w:rsidP="002573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мероприятий от общего количества запланированных по снижению уровня проявления терроризма, экстремизма и ксенофобии, этнической нетерпимости и формированию позитивных установок к представителям различных этнических и конфессиональных сообществ.</w:t>
            </w:r>
            <w:r w:rsidR="00257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14-ти до 30-ти лет.</w:t>
            </w:r>
            <w:r w:rsidR="00257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зарегистрированных нарушений общественного порядка экстремистского характера.</w:t>
            </w:r>
          </w:p>
        </w:tc>
      </w:tr>
      <w:tr w:rsidR="004338AB" w:rsidRPr="006867BE" w:rsidTr="00257333">
        <w:trPr>
          <w:trHeight w:val="651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(этапы)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0ABC" w:rsidRPr="00FB6F89" w:rsidRDefault="00090ABC" w:rsidP="00FB6F89">
            <w:pPr>
              <w:pStyle w:val="a6"/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  <w:t>2020-2022 годы</w:t>
            </w:r>
            <w:r w:rsidRPr="00FB6F89"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Этапы не предусмотрены.</w:t>
            </w:r>
          </w:p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8AB" w:rsidRPr="006867BE" w:rsidTr="00257333">
        <w:trPr>
          <w:trHeight w:val="325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F4306E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9F1F05" w:rsidRPr="00FB6F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ыполнение программы предусматривается без финансовых затрат из средств местного бюджета</w:t>
            </w:r>
          </w:p>
        </w:tc>
      </w:tr>
      <w:tr w:rsidR="006E4CE7" w:rsidRPr="006867BE" w:rsidTr="00257333">
        <w:trPr>
          <w:trHeight w:val="1677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E4CE7" w:rsidRPr="00FB6F89" w:rsidRDefault="006E4CE7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E4CE7" w:rsidRPr="00FB6F89" w:rsidRDefault="00016F50" w:rsidP="00FB6F89">
            <w:pPr>
              <w:pStyle w:val="a6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целевых показателей по снижению уровня проявления терроризма, экстремизма и ксенофобии, этнической нетерпимости и формированию позитивных установок к представителям различных этнических и конфессиональных сообществ.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Увеличение доли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ксенофобии и экстремизма, от молодежи в возрасте от 14-ти до 30-ти лет.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Число зарегистрированных нарушений общественного порядка экстремистского характера снизить до 0.</w:t>
            </w:r>
          </w:p>
        </w:tc>
      </w:tr>
    </w:tbl>
    <w:p w:rsidR="003A2ED7" w:rsidRDefault="003A2ED7" w:rsidP="003A2ED7">
      <w:pPr>
        <w:spacing w:after="240" w:line="360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FD6CEE" w:rsidRPr="00EF2751" w:rsidRDefault="00FD6CEE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террористической опасности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наличием развитой сети газопровода, Смоленской АЭС и других объектов экономики.</w:t>
      </w: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первоочередных террористических устремлений являются также места массового пребывания людей (учреждения культуры, учебные заведения, объекты здравоохранения</w:t>
      </w:r>
      <w:r w:rsidR="002F3D28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0E6E8E" w:rsidRPr="00E07453" w:rsidRDefault="000E6E8E" w:rsidP="00E074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E6E8E" w:rsidRPr="000E6E8E" w:rsidRDefault="000E6E8E" w:rsidP="00E07453">
      <w:pPr>
        <w:spacing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</w:t>
      </w:r>
      <w:r w:rsidRPr="000E6E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условий улучшения социально-эк</w:t>
      </w:r>
      <w:r w:rsidR="005E7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ономической ситуации в    </w:t>
      </w:r>
      <w:proofErr w:type="spellStart"/>
      <w:r w:rsidR="005E7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Перенском</w:t>
      </w:r>
      <w:proofErr w:type="spellEnd"/>
      <w:r w:rsidRPr="000E6E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поселении.</w:t>
      </w:r>
    </w:p>
    <w:p w:rsidR="00EF2751" w:rsidRPr="00EF2751" w:rsidRDefault="003A2ED7" w:rsidP="00E07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Цели, целевые показатели, описание ожидаемых конечных результатов, сроков и этапов реализации муниципальной программы.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воспитательной, пропагандистской работы с населением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терроризма и экстремизма;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межнационального согласия;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решение следующих задач: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сведение к минимуму проявлений терроризма и экстремизма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граждан, общественных организаций, для обеспечения максимальной эффективности деятельности по профилактике терроризма и экстремизма;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воспитательной, пропагандистской работы с населением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повышения бдительности населения.</w:t>
      </w:r>
    </w:p>
    <w:p w:rsidR="00EF2751" w:rsidRDefault="003A2ED7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мероприятий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  <w:r w:rsidR="00EF2751" w:rsidRPr="00EF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751" w:rsidRPr="005F45F9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Целевыми показателями решения задач </w:t>
      </w:r>
      <w:r w:rsid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являются: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возможности совершения террористических актов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антитеррористической защищенности объектов социальной сферы и мест массового пребывания людей;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нравственного здоровья в обществе, межнациональных отношений.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EF2751" w:rsidRDefault="00EF2751" w:rsidP="005F4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причин и условий, способствующих осуществлению террористических и экстремистских проявлений;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толерантности.</w:t>
      </w:r>
    </w:p>
    <w:p w:rsidR="004231FB" w:rsidRPr="00E07453" w:rsidRDefault="004231FB" w:rsidP="004231FB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51" w:rsidRP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  <w:r w:rsidR="00EF2751" w:rsidRPr="00EF2751">
        <w:rPr>
          <w:b/>
        </w:rPr>
        <w:t xml:space="preserve">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и подпрограмм.</w:t>
      </w:r>
    </w:p>
    <w:p w:rsidR="00594661" w:rsidRDefault="00594661" w:rsidP="00EF275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</w:t>
      </w:r>
      <w:r w:rsid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не содержит.</w:t>
      </w:r>
    </w:p>
    <w:p w:rsidR="00594661" w:rsidRDefault="00594661" w:rsidP="00E07453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следу</w:t>
      </w:r>
      <w:r w:rsidR="0043583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основных мероприятий:</w:t>
      </w:r>
    </w:p>
    <w:p w:rsidR="00435832" w:rsidRDefault="00435832" w:rsidP="00E07453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B5" w:rsidRPr="004056B5" w:rsidRDefault="00081CC4" w:rsidP="00E07453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1 –</w:t>
      </w:r>
      <w:r w:rsidR="008C509D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B5" w:rsidRPr="004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меры профилактики терроризма и экстремизма</w:t>
      </w:r>
      <w:r w:rsidR="004056B5" w:rsidRPr="004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6B5" w:rsidRPr="004056B5" w:rsidRDefault="00435832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2 -  </w:t>
      </w:r>
      <w:r w:rsidR="004056B5" w:rsidRPr="004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системы противодействия идеологии терроризма и экстремизма</w:t>
      </w:r>
      <w:r w:rsidR="004056B5" w:rsidRPr="004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37" w:rsidRDefault="00071F37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32" w:rsidRPr="00E07453" w:rsidRDefault="00435832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</w:t>
      </w:r>
      <w:r w:rsidR="000A394F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1F37" w:rsidRPr="0007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информационно-пропагандистского обеспечения профилактики терроризма и экстремизма</w:t>
      </w:r>
      <w:r w:rsidRPr="00071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многоукладности</w:t>
      </w:r>
      <w:proofErr w:type="spellEnd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жизни;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35832" w:rsidRPr="00E07453" w:rsidRDefault="0004533A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832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художественной самодеятельности на основе различных народных традиций и культурного наследия.</w:t>
      </w:r>
    </w:p>
    <w:p w:rsidR="00594661" w:rsidRPr="00E07453" w:rsidRDefault="00E07453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F74250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</w:t>
      </w:r>
      <w:r w:rsidR="00F74250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программе.</w:t>
      </w:r>
    </w:p>
    <w:p w:rsidR="00EF2751" w:rsidRDefault="003A2ED7" w:rsidP="00EF2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программы.</w:t>
      </w:r>
    </w:p>
    <w:p w:rsidR="005F45F9" w:rsidRDefault="00EF2751" w:rsidP="005F4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программы не предусмотрено.</w:t>
      </w:r>
    </w:p>
    <w:p w:rsidR="00EF2751" w:rsidRPr="00207062" w:rsidRDefault="00EF2751" w:rsidP="00FD6C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необходимости финансирования мероприятий Программы в очередном году, уточняются и в случае необходимости вносятся соответствующие изменения в решение Совета депутатов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на очередной финансовый год и на плановый период и в Программу.</w:t>
      </w:r>
    </w:p>
    <w:p w:rsidR="00EF2751" w:rsidRDefault="00EF2751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  <w:r w:rsidR="00EF2751">
        <w:rPr>
          <w:rFonts w:ascii="Times New Roman" w:hAnsi="Times New Roman" w:cs="Times New Roman"/>
          <w:sz w:val="28"/>
          <w:szCs w:val="28"/>
        </w:rPr>
        <w:t>.</w:t>
      </w:r>
    </w:p>
    <w:p w:rsidR="00DE00D1" w:rsidRDefault="00DE00D1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CC4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06.03.2006. № 35-ФЗ «О противодействии терроризму»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81CC4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06.10.2003. № 131-ФЗ «Об общих принципах организации местного самоуправления в Российской Федерации»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E00D1" w:rsidRPr="00DE00D1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 от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25.07.2002. №114-ФЗ «О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противодействии экстремистской деятельности»;</w:t>
      </w:r>
    </w:p>
    <w:p w:rsidR="00FD6CEE" w:rsidRPr="005F37B2" w:rsidRDefault="00DE00D1" w:rsidP="005F37B2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 Президента Российской Федерации от 15.06. 2006. № 116 «О мерах</w:t>
      </w:r>
      <w:r w:rsidR="00FD6C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противодействию терроризму».</w:t>
      </w:r>
    </w:p>
    <w:p w:rsidR="00FD6CEE" w:rsidRDefault="00FD6CEE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751" w:rsidRDefault="003A2ED7" w:rsidP="00E07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F2751" w:rsidRPr="00987F18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987F18" w:rsidRDefault="00987F18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7F18" w:rsidRPr="00987F18" w:rsidRDefault="00987F18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регулирования в сфере реализации данной муниципальной программы не предусмотрены.</w:t>
      </w:r>
    </w:p>
    <w:p w:rsidR="003A2ED7" w:rsidRDefault="003A2ED7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Pr="00EF2751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EB1C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34094" w:rsidRDefault="00A3409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Приложение №1</w:t>
      </w:r>
    </w:p>
    <w:p w:rsidR="00A34094" w:rsidRDefault="00A34094" w:rsidP="00A34094">
      <w:pPr>
        <w:pStyle w:val="a6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hAnsi="Times New Roman" w:cs="Times New Roman"/>
          <w:sz w:val="20"/>
          <w:szCs w:val="20"/>
          <w:lang w:eastAsia="ru-RU"/>
        </w:rPr>
        <w:t xml:space="preserve"> Перенского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Рославльского района Смоленской области» на 2020-2022 гг.</w:t>
      </w:r>
    </w:p>
    <w:p w:rsidR="00A34094" w:rsidRDefault="00A34094" w:rsidP="00EB1C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94" w:rsidRDefault="00A34094" w:rsidP="00A34094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Рославльского района Смоленской области» на 2020-2022 гг.</w:t>
      </w:r>
    </w:p>
    <w:p w:rsidR="00A34094" w:rsidRDefault="00A34094" w:rsidP="00A34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"/>
        <w:gridCol w:w="4441"/>
        <w:gridCol w:w="1480"/>
        <w:gridCol w:w="1071"/>
        <w:gridCol w:w="1071"/>
        <w:gridCol w:w="1056"/>
      </w:tblGrid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2019 год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34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актов экстремистской направленности против соблюдения прав человека на территории 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34094" w:rsidRDefault="00A34094" w:rsidP="00A34094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34094" w:rsidRDefault="00A3409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Приложение №2</w:t>
      </w:r>
    </w:p>
    <w:p w:rsidR="00A34094" w:rsidRDefault="00A34094" w:rsidP="00A34094">
      <w:pPr>
        <w:pStyle w:val="a6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hAnsi="Times New Roman" w:cs="Times New Roman"/>
          <w:sz w:val="20"/>
          <w:szCs w:val="20"/>
          <w:lang w:eastAsia="ru-RU"/>
        </w:rPr>
        <w:t xml:space="preserve"> Перенского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Рославльского района Смоленской области» на 2020-2022 гг.</w:t>
      </w:r>
    </w:p>
    <w:p w:rsidR="00A34094" w:rsidRDefault="00A34094" w:rsidP="00A34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94" w:rsidRDefault="00A34094" w:rsidP="00A34094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34094" w:rsidRDefault="00A34094" w:rsidP="00A34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A34094" w:rsidRDefault="00A34094" w:rsidP="00A3409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 на 2020-2022 гг.</w:t>
      </w:r>
    </w:p>
    <w:p w:rsidR="00A34094" w:rsidRDefault="00A34094" w:rsidP="00A34094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55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020"/>
        <w:gridCol w:w="1890"/>
        <w:gridCol w:w="1309"/>
        <w:gridCol w:w="1743"/>
        <w:gridCol w:w="2469"/>
      </w:tblGrid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34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«Организационные меры профилактики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 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EB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EB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АТК-Шаманова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поселения по вопросам противодействия терроризму,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террористических актов, поведения в чрезвычайных ситуациях через сотрудников администрации, сотрудников органов внутренних дел.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АТК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A34094" w:rsidTr="00A34094">
        <w:trPr>
          <w:trHeight w:val="28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заседаниях Антитеррористической комиссии при администрации МО «Рославльский район» по вопросам профилактики террористических угроз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заседаний административной комиссии МО «Рославльский район»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(2020-2022 гг.)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– «Формирование системы противодействия идеологии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АТК-Шаманова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 – «Меры информационно-пропагандистского обеспечения профилактики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(приобретение) и 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АТК-Г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библиотеки, при участии отдела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населения 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 по тематике противодействия экстремизму и терроризму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gram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Л.Я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библиотеки, при участии отдела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A34094" w:rsidRDefault="00A34094" w:rsidP="00A34094">
      <w:pPr>
        <w:spacing w:after="24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07453" w:rsidRDefault="00E07453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sectPr w:rsidR="00E07453" w:rsidSect="00257333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B2" w:rsidRDefault="00B96DB2" w:rsidP="005F45F9">
      <w:pPr>
        <w:spacing w:after="0" w:line="240" w:lineRule="auto"/>
      </w:pPr>
      <w:r>
        <w:separator/>
      </w:r>
    </w:p>
  </w:endnote>
  <w:endnote w:type="continuationSeparator" w:id="0">
    <w:p w:rsidR="00B96DB2" w:rsidRDefault="00B96DB2" w:rsidP="005F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B2" w:rsidRDefault="00B96DB2" w:rsidP="005F45F9">
      <w:pPr>
        <w:spacing w:after="0" w:line="240" w:lineRule="auto"/>
      </w:pPr>
      <w:r>
        <w:separator/>
      </w:r>
    </w:p>
  </w:footnote>
  <w:footnote w:type="continuationSeparator" w:id="0">
    <w:p w:rsidR="00B96DB2" w:rsidRDefault="00B96DB2" w:rsidP="005F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4B6"/>
    <w:multiLevelType w:val="multilevel"/>
    <w:tmpl w:val="13A8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2B84"/>
    <w:multiLevelType w:val="multilevel"/>
    <w:tmpl w:val="44E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E50B1"/>
    <w:multiLevelType w:val="multilevel"/>
    <w:tmpl w:val="BAFA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4184F"/>
    <w:multiLevelType w:val="multilevel"/>
    <w:tmpl w:val="63263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84E"/>
    <w:multiLevelType w:val="multilevel"/>
    <w:tmpl w:val="D836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733B3"/>
    <w:multiLevelType w:val="multilevel"/>
    <w:tmpl w:val="1F1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2141DC"/>
    <w:multiLevelType w:val="multilevel"/>
    <w:tmpl w:val="B0C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51F4C"/>
    <w:multiLevelType w:val="multilevel"/>
    <w:tmpl w:val="B1C0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261B"/>
    <w:multiLevelType w:val="multilevel"/>
    <w:tmpl w:val="314E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45688"/>
    <w:multiLevelType w:val="multilevel"/>
    <w:tmpl w:val="D5163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35852"/>
    <w:multiLevelType w:val="multilevel"/>
    <w:tmpl w:val="100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4689F"/>
    <w:multiLevelType w:val="multilevel"/>
    <w:tmpl w:val="F608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680"/>
    <w:multiLevelType w:val="multilevel"/>
    <w:tmpl w:val="23D4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4392E"/>
    <w:multiLevelType w:val="multilevel"/>
    <w:tmpl w:val="CB04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085153"/>
    <w:multiLevelType w:val="multilevel"/>
    <w:tmpl w:val="461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02599"/>
    <w:multiLevelType w:val="multilevel"/>
    <w:tmpl w:val="27F8A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51F1D"/>
    <w:multiLevelType w:val="multilevel"/>
    <w:tmpl w:val="ADC01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D4741"/>
    <w:multiLevelType w:val="multilevel"/>
    <w:tmpl w:val="832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1ADE"/>
    <w:multiLevelType w:val="multilevel"/>
    <w:tmpl w:val="D41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3A39E7"/>
    <w:multiLevelType w:val="multilevel"/>
    <w:tmpl w:val="1F7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EC7368"/>
    <w:multiLevelType w:val="multilevel"/>
    <w:tmpl w:val="568A7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0"/>
  </w:num>
  <w:num w:numId="10">
    <w:abstractNumId w:val="19"/>
  </w:num>
  <w:num w:numId="11">
    <w:abstractNumId w:val="3"/>
  </w:num>
  <w:num w:numId="12">
    <w:abstractNumId w:val="20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95"/>
    <w:rsid w:val="00016F50"/>
    <w:rsid w:val="0004533A"/>
    <w:rsid w:val="00071F37"/>
    <w:rsid w:val="00081CC4"/>
    <w:rsid w:val="00090ABC"/>
    <w:rsid w:val="00092BDE"/>
    <w:rsid w:val="000A394F"/>
    <w:rsid w:val="000E6E8E"/>
    <w:rsid w:val="000E773D"/>
    <w:rsid w:val="00103303"/>
    <w:rsid w:val="0011340E"/>
    <w:rsid w:val="001328A4"/>
    <w:rsid w:val="00140150"/>
    <w:rsid w:val="001850B2"/>
    <w:rsid w:val="001932C2"/>
    <w:rsid w:val="0019707D"/>
    <w:rsid w:val="001B2A0A"/>
    <w:rsid w:val="001E3D77"/>
    <w:rsid w:val="001F452C"/>
    <w:rsid w:val="00207062"/>
    <w:rsid w:val="002138DD"/>
    <w:rsid w:val="00234AE8"/>
    <w:rsid w:val="00234E28"/>
    <w:rsid w:val="00257333"/>
    <w:rsid w:val="00276CF7"/>
    <w:rsid w:val="00276D53"/>
    <w:rsid w:val="002858FD"/>
    <w:rsid w:val="002B48DE"/>
    <w:rsid w:val="002D7341"/>
    <w:rsid w:val="002F3D28"/>
    <w:rsid w:val="00304CEC"/>
    <w:rsid w:val="00331BD1"/>
    <w:rsid w:val="003465F5"/>
    <w:rsid w:val="003654B5"/>
    <w:rsid w:val="003A2ED7"/>
    <w:rsid w:val="003B2EC9"/>
    <w:rsid w:val="003C1A8C"/>
    <w:rsid w:val="003E2875"/>
    <w:rsid w:val="004056B5"/>
    <w:rsid w:val="00412B4B"/>
    <w:rsid w:val="004231FB"/>
    <w:rsid w:val="004338AB"/>
    <w:rsid w:val="00434F6E"/>
    <w:rsid w:val="00435832"/>
    <w:rsid w:val="0046723F"/>
    <w:rsid w:val="00472C44"/>
    <w:rsid w:val="00486B7D"/>
    <w:rsid w:val="004F20BA"/>
    <w:rsid w:val="00541895"/>
    <w:rsid w:val="00581F39"/>
    <w:rsid w:val="00594661"/>
    <w:rsid w:val="005E750E"/>
    <w:rsid w:val="005F37B2"/>
    <w:rsid w:val="005F45F9"/>
    <w:rsid w:val="005F7F6C"/>
    <w:rsid w:val="006733F4"/>
    <w:rsid w:val="006763CA"/>
    <w:rsid w:val="006826FB"/>
    <w:rsid w:val="006867BE"/>
    <w:rsid w:val="006A35A7"/>
    <w:rsid w:val="006E4CE7"/>
    <w:rsid w:val="00743056"/>
    <w:rsid w:val="0077263C"/>
    <w:rsid w:val="007D04D9"/>
    <w:rsid w:val="0085696D"/>
    <w:rsid w:val="00857514"/>
    <w:rsid w:val="0086627C"/>
    <w:rsid w:val="008B7D95"/>
    <w:rsid w:val="008C509D"/>
    <w:rsid w:val="008C5B6C"/>
    <w:rsid w:val="009150F8"/>
    <w:rsid w:val="00920EBE"/>
    <w:rsid w:val="0092356C"/>
    <w:rsid w:val="00987F18"/>
    <w:rsid w:val="00993915"/>
    <w:rsid w:val="009A0AA4"/>
    <w:rsid w:val="009A0F5E"/>
    <w:rsid w:val="009C421F"/>
    <w:rsid w:val="009E2135"/>
    <w:rsid w:val="009F1F05"/>
    <w:rsid w:val="00A22D54"/>
    <w:rsid w:val="00A34094"/>
    <w:rsid w:val="00A915A6"/>
    <w:rsid w:val="00AD791A"/>
    <w:rsid w:val="00B11E97"/>
    <w:rsid w:val="00B32099"/>
    <w:rsid w:val="00B96DB2"/>
    <w:rsid w:val="00BF3F5C"/>
    <w:rsid w:val="00C025BC"/>
    <w:rsid w:val="00C55005"/>
    <w:rsid w:val="00C66A2D"/>
    <w:rsid w:val="00C67ADB"/>
    <w:rsid w:val="00C77FAF"/>
    <w:rsid w:val="00CD1CEA"/>
    <w:rsid w:val="00CF0D93"/>
    <w:rsid w:val="00D009DC"/>
    <w:rsid w:val="00D01537"/>
    <w:rsid w:val="00D33C82"/>
    <w:rsid w:val="00D513A3"/>
    <w:rsid w:val="00D846DB"/>
    <w:rsid w:val="00DE00D1"/>
    <w:rsid w:val="00E07453"/>
    <w:rsid w:val="00E96751"/>
    <w:rsid w:val="00EB1CA1"/>
    <w:rsid w:val="00EC10E3"/>
    <w:rsid w:val="00ED4DD5"/>
    <w:rsid w:val="00EF2751"/>
    <w:rsid w:val="00F4306E"/>
    <w:rsid w:val="00F43FFD"/>
    <w:rsid w:val="00F7016B"/>
    <w:rsid w:val="00F74250"/>
    <w:rsid w:val="00FB0BB6"/>
    <w:rsid w:val="00FB6F89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7"/>
  </w:style>
  <w:style w:type="paragraph" w:styleId="1">
    <w:name w:val="heading 1"/>
    <w:basedOn w:val="a"/>
    <w:next w:val="a"/>
    <w:link w:val="10"/>
    <w:uiPriority w:val="9"/>
    <w:qFormat/>
    <w:rsid w:val="0068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67BE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7B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7BE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6867BE"/>
    <w:rPr>
      <w:b/>
      <w:bCs/>
    </w:rPr>
  </w:style>
  <w:style w:type="character" w:styleId="a5">
    <w:name w:val="Emphasis"/>
    <w:basedOn w:val="a0"/>
    <w:uiPriority w:val="20"/>
    <w:qFormat/>
    <w:rsid w:val="006867BE"/>
    <w:rPr>
      <w:i/>
      <w:iCs/>
    </w:rPr>
  </w:style>
  <w:style w:type="character" w:customStyle="1" w:styleId="meta-nav">
    <w:name w:val="meta-nav"/>
    <w:basedOn w:val="a0"/>
    <w:rsid w:val="006867BE"/>
  </w:style>
  <w:style w:type="character" w:customStyle="1" w:styleId="10">
    <w:name w:val="Заголовок 1 Знак"/>
    <w:basedOn w:val="a0"/>
    <w:link w:val="1"/>
    <w:uiPriority w:val="9"/>
    <w:rsid w:val="0068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86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7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F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5F9"/>
  </w:style>
  <w:style w:type="paragraph" w:styleId="a9">
    <w:name w:val="footer"/>
    <w:basedOn w:val="a"/>
    <w:link w:val="aa"/>
    <w:uiPriority w:val="99"/>
    <w:unhideWhenUsed/>
    <w:rsid w:val="005F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5F9"/>
  </w:style>
  <w:style w:type="paragraph" w:styleId="ab">
    <w:name w:val="Balloon Text"/>
    <w:basedOn w:val="a"/>
    <w:link w:val="ac"/>
    <w:uiPriority w:val="99"/>
    <w:semiHidden/>
    <w:unhideWhenUsed/>
    <w:rsid w:val="00C5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05"/>
    <w:rPr>
      <w:rFonts w:ascii="Segoe UI" w:hAnsi="Segoe UI" w:cs="Segoe UI"/>
      <w:sz w:val="18"/>
      <w:szCs w:val="18"/>
    </w:rPr>
  </w:style>
  <w:style w:type="character" w:customStyle="1" w:styleId="11">
    <w:name w:val="1"/>
    <w:rsid w:val="00A3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3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6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65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5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F7B5-AFA9-4DA1-A267-845357C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777</cp:lastModifiedBy>
  <cp:revision>24</cp:revision>
  <cp:lastPrinted>2020-08-06T12:55:00Z</cp:lastPrinted>
  <dcterms:created xsi:type="dcterms:W3CDTF">2020-06-01T08:43:00Z</dcterms:created>
  <dcterms:modified xsi:type="dcterms:W3CDTF">2022-01-14T08:13:00Z</dcterms:modified>
</cp:coreProperties>
</file>